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8"/>
        <w:ind w:left="4820" w:firstLine="0"/>
        <w:jc w:val="both"/>
        <w:spacing w:line="240" w:lineRule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Приложение № 1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</w:r>
    </w:p>
    <w:p>
      <w:pPr>
        <w:pStyle w:val="658"/>
        <w:ind w:left="4820" w:firstLine="0"/>
        <w:jc w:val="both"/>
        <w:spacing w:line="240" w:lineRule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к постановлению Администрации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</w:r>
    </w:p>
    <w:p>
      <w:pPr>
        <w:pStyle w:val="658"/>
        <w:ind w:left="4820" w:firstLine="0"/>
        <w:jc w:val="both"/>
        <w:spacing w:line="240" w:lineRule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муниципального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</w:r>
    </w:p>
    <w:p>
      <w:pPr>
        <w:pStyle w:val="658"/>
        <w:ind w:left="4820" w:firstLine="0"/>
        <w:jc w:val="both"/>
        <w:spacing w:line="240" w:lineRule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от___________________ № __________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</w:r>
    </w:p>
    <w:p>
      <w:pPr>
        <w:pStyle w:val="658"/>
        <w:ind w:left="4820" w:firstLine="0"/>
        <w:jc w:val="both"/>
        <w:spacing w:line="240" w:lineRule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</w:r>
      <w:r>
        <w:rPr>
          <w:rFonts w:hint="default" w:ascii="Liberation Serif" w:hAnsi="Liberation Serif" w:cs="Liberation Serif"/>
          <w:sz w:val="24"/>
          <w:szCs w:val="24"/>
          <w:lang w:val="ru-RU"/>
        </w:rPr>
      </w:r>
    </w:p>
    <w:p>
      <w:pPr>
        <w:pStyle w:val="658"/>
        <w:ind w:left="4820" w:firstLine="0"/>
        <w:jc w:val="both"/>
        <w:spacing w:line="240" w:lineRule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Приложение № 1 </w:t>
      </w:r>
      <w:r>
        <w:rPr>
          <w:rFonts w:hint="default" w:ascii="Liberation Serif" w:hAnsi="Liberation Serif" w:cs="Liberation Serif"/>
          <w:sz w:val="24"/>
          <w:szCs w:val="24"/>
        </w:rPr>
      </w:r>
    </w:p>
    <w:p>
      <w:pPr>
        <w:pStyle w:val="659"/>
        <w:ind w:left="4820" w:firstLine="0"/>
        <w:spacing w:line="240" w:lineRule="auto"/>
        <w:rPr>
          <w:rFonts w:hint="default" w:ascii="Liberation Serif" w:hAnsi="Liberation Serif" w:cs="Liberation Serif"/>
          <w:b w:val="0"/>
          <w:sz w:val="24"/>
          <w:szCs w:val="24"/>
        </w:rPr>
      </w:pPr>
      <w:r>
        <w:rPr>
          <w:rFonts w:hint="default" w:ascii="Liberation Serif" w:hAnsi="Liberation Serif" w:cs="Liberation Serif"/>
          <w:b w:val="0"/>
          <w:sz w:val="24"/>
          <w:szCs w:val="24"/>
        </w:rPr>
        <w:t xml:space="preserve">к Положению о мобильной рабочей группе </w:t>
      </w:r>
      <w:r>
        <w:rPr>
          <w:rFonts w:hint="default" w:ascii="Liberation Serif" w:hAnsi="Liberation Serif" w:cs="Liberation Serif"/>
          <w:b w:val="0"/>
          <w:sz w:val="24"/>
          <w:szCs w:val="24"/>
        </w:rPr>
      </w:r>
    </w:p>
    <w:p>
      <w:pPr>
        <w:pStyle w:val="659"/>
        <w:ind w:left="4820" w:firstLine="0"/>
        <w:spacing w:line="240" w:lineRule="auto"/>
        <w:rPr>
          <w:rFonts w:hint="default" w:ascii="Liberation Serif" w:hAnsi="Liberation Serif" w:cs="Liberation Serif"/>
          <w:b w:val="0"/>
          <w:sz w:val="24"/>
          <w:szCs w:val="24"/>
        </w:rPr>
      </w:pPr>
      <w:r>
        <w:rPr>
          <w:rFonts w:hint="default" w:ascii="Liberation Serif" w:hAnsi="Liberation Serif" w:cs="Liberation Serif"/>
          <w:b w:val="0"/>
          <w:sz w:val="24"/>
          <w:szCs w:val="24"/>
        </w:rPr>
        <w:t xml:space="preserve">по выявлению неучтенных объектов </w:t>
      </w:r>
      <w:r>
        <w:rPr>
          <w:rFonts w:hint="default" w:ascii="Liberation Serif" w:hAnsi="Liberation Serif" w:cs="Liberation Serif"/>
          <w:b w:val="0"/>
          <w:sz w:val="24"/>
          <w:szCs w:val="24"/>
        </w:rPr>
      </w:r>
    </w:p>
    <w:p>
      <w:pPr>
        <w:pStyle w:val="659"/>
        <w:ind w:left="4820" w:firstLine="0"/>
        <w:spacing w:line="240" w:lineRule="auto"/>
        <w:rPr>
          <w:rFonts w:hint="default" w:ascii="Liberation Serif" w:hAnsi="Liberation Serif" w:cs="Liberation Serif"/>
          <w:b w:val="0"/>
          <w:sz w:val="24"/>
          <w:szCs w:val="24"/>
        </w:rPr>
      </w:pPr>
      <w:r>
        <w:rPr>
          <w:rFonts w:hint="default" w:ascii="Liberation Serif" w:hAnsi="Liberation Serif" w:cs="Liberation Serif"/>
          <w:b w:val="0"/>
          <w:sz w:val="24"/>
          <w:szCs w:val="24"/>
        </w:rPr>
        <w:t xml:space="preserve">недвижимости и земельных участков</w:t>
      </w:r>
      <w:r>
        <w:rPr>
          <w:rFonts w:hint="default" w:ascii="Liberation Serif" w:hAnsi="Liberation Serif" w:cs="Liberation Serif"/>
          <w:b w:val="0"/>
          <w:sz w:val="24"/>
          <w:szCs w:val="24"/>
        </w:rPr>
      </w:r>
    </w:p>
    <w:p>
      <w:pPr>
        <w:pStyle w:val="658"/>
        <w:ind w:left="4820" w:firstLine="0"/>
        <w:jc w:val="both"/>
        <w:spacing w:line="240" w:lineRule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на территории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муниципального</w:t>
      </w:r>
      <w:r>
        <w:rPr>
          <w:rFonts w:hint="default" w:ascii="Liberation Serif" w:hAnsi="Liberation Serif" w:cs="Liberation Serif"/>
          <w:sz w:val="24"/>
          <w:szCs w:val="24"/>
        </w:rPr>
        <w:t xml:space="preserve"> округа Первоуральск</w:t>
      </w:r>
      <w:r>
        <w:rPr>
          <w:rFonts w:hint="default" w:ascii="Liberation Serif" w:hAnsi="Liberation Serif" w:cs="Liberation Serif"/>
          <w:sz w:val="24"/>
          <w:szCs w:val="24"/>
        </w:rPr>
      </w:r>
    </w:p>
    <w:p>
      <w:pPr>
        <w:pStyle w:val="658"/>
        <w:ind w:firstLine="0"/>
        <w:spacing w:line="240" w:lineRule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Форма</w:t>
      </w:r>
      <w:r>
        <w:rPr>
          <w:rFonts w:hint="default" w:ascii="Liberation Serif" w:hAnsi="Liberation Serif" w:cs="Liberation Serif"/>
          <w:sz w:val="24"/>
          <w:szCs w:val="24"/>
        </w:rPr>
      </w:r>
    </w:p>
    <w:p>
      <w:pPr>
        <w:pStyle w:val="658"/>
        <w:ind w:left="5760" w:firstLine="0"/>
        <w:jc w:val="both"/>
        <w:spacing w:line="240" w:lineRule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</w:r>
      <w:r>
        <w:rPr>
          <w:rFonts w:hint="default" w:ascii="Liberation Serif" w:hAnsi="Liberation Serif" w:cs="Liberation Serif"/>
          <w:sz w:val="24"/>
          <w:szCs w:val="24"/>
        </w:rPr>
      </w:r>
    </w:p>
    <w:p>
      <w:pPr>
        <w:pStyle w:val="658"/>
        <w:ind w:left="5760" w:firstLine="0"/>
        <w:jc w:val="right"/>
        <w:spacing w:line="240" w:lineRule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Таблица 24</w:t>
      </w:r>
      <w:r>
        <w:rPr>
          <w:rFonts w:hint="default"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hint="default" w:ascii="Liberation Serif" w:hAnsi="Liberation Serif" w:cs="Liberation Serif"/>
          <w:b/>
          <w:sz w:val="24"/>
          <w:szCs w:val="24"/>
        </w:rPr>
      </w:pPr>
      <w:r>
        <w:rPr>
          <w:rFonts w:hint="default" w:ascii="Liberation Serif" w:hAnsi="Liberation Serif" w:cs="Liberation Serif"/>
          <w:b/>
          <w:sz w:val="24"/>
          <w:szCs w:val="24"/>
        </w:rPr>
        <w:t xml:space="preserve">ИНФОРМАЦИЯ</w:t>
      </w:r>
      <w:r>
        <w:rPr>
          <w:rFonts w:hint="default"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hint="default" w:ascii="Liberation Serif" w:hAnsi="Liberation Serif" w:cs="Liberation Serif"/>
          <w:b/>
          <w:sz w:val="24"/>
          <w:szCs w:val="24"/>
        </w:rPr>
      </w:pPr>
      <w:r>
        <w:rPr>
          <w:rFonts w:hint="default" w:ascii="Liberation Serif" w:hAnsi="Liberation Serif" w:cs="Liberation Serif"/>
          <w:b/>
          <w:sz w:val="24"/>
          <w:szCs w:val="24"/>
        </w:rPr>
        <w:t xml:space="preserve">о реализации мероприятий муниципального земельного контроля и работе по дополнительной мобилизации имущественных налогов и арендных платежей за землю в бюджет муниципального образования </w:t>
      </w:r>
      <w:r>
        <w:rPr>
          <w:rFonts w:hint="default"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b/>
          <w:bCs/>
          <w:sz w:val="24"/>
          <w:szCs w:val="24"/>
          <w:u w:val="single"/>
          <w:lang w:val="ru-RU"/>
        </w:rPr>
        <w:t xml:space="preserve">муниципальный округ Первоуральск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(наименование муниципального образования)</w:t>
      </w:r>
      <w:r>
        <w:rPr>
          <w:rFonts w:hint="default"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hint="default" w:ascii="Liberation Serif" w:hAnsi="Liberation Serif" w:cs="Liberation Serif"/>
          <w:sz w:val="24"/>
          <w:szCs w:val="24"/>
          <w:lang w:eastAsia="en-US"/>
        </w:rPr>
      </w:pPr>
      <w:r>
        <w:rPr>
          <w:rFonts w:hint="default" w:ascii="Liberation Serif" w:hAnsi="Liberation Serif" w:cs="Liberation Serif"/>
          <w:sz w:val="24"/>
          <w:szCs w:val="24"/>
          <w:lang w:eastAsia="en-US"/>
        </w:rPr>
      </w:r>
      <w:r>
        <w:rPr>
          <w:rFonts w:hint="default" w:ascii="Liberation Serif" w:hAnsi="Liberation Serif" w:cs="Liberation Serif"/>
          <w:sz w:val="24"/>
          <w:szCs w:val="24"/>
          <w:lang w:eastAsia="en-US"/>
        </w:rPr>
      </w:r>
    </w:p>
    <w:tbl>
      <w:tblPr>
        <w:tblStyle w:val="655"/>
        <w:tblW w:w="5011" w:type="pct"/>
        <w:tblInd w:w="0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561"/>
        <w:gridCol w:w="30"/>
        <w:gridCol w:w="5055"/>
        <w:gridCol w:w="9"/>
        <w:gridCol w:w="786"/>
        <w:gridCol w:w="20"/>
        <w:gridCol w:w="1111"/>
        <w:gridCol w:w="20"/>
        <w:gridCol w:w="896"/>
        <w:gridCol w:w="15"/>
        <w:gridCol w:w="912"/>
        <w:gridCol w:w="18"/>
      </w:tblGrid>
      <w:tr>
        <w:tblPrEx/>
        <w:trPr>
          <w:gridAfter w:val="1"/>
          <w:trHeight w:val="15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6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Номер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строки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9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За отчетный период 20</w:t>
            </w:r>
            <w:r>
              <w:rPr>
                <w:rFonts w:hint="default" w:ascii="Liberation Serif" w:hAnsi="Liberation Serif" w:cs="Liberation Serif"/>
                <w:sz w:val="24"/>
                <w:szCs w:val="24"/>
                <w:u w:val="single"/>
                <w:lang w:val="ru-RU"/>
              </w:rPr>
              <w:t xml:space="preserve">25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года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За аналогичный период прошлого года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Рост (снижение) в сумме к аналогич-ному периоду прошлого года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В процентах к аналогич-ному периоду прошлого года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8"/>
          <w:tblHeader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0"/>
        </w:trPr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проведенных мероприятий в рамках муниципального земельного контроля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2.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земельных участков, в отношении которых проведены мероприятия муниципального земельного контроля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3.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материалов проверок, сформированных в рамках муниципального земельного контроля и переданных в надзорные органы для принятия мер,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из них: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4.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по статье 7.1 Кодекса Российской Федерации об административных правонарушениях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5.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по статье 8.8 Кодекса Российской Федерации об административных правонарушениях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en-US" w:eastAsia="en-US"/>
              </w:rPr>
              <w:t xml:space="preserve">6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.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земельных 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участков, по которым органами муниципального земельного контроля направлены сведения в налоговый орган об их использовании не по целевому назначению (по основаниям, указанным в подпунктах 1 и 2 пункта 18 статьи 396 Налогового кодекса Российской Федерации)*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en-US" w:eastAsia="en-US"/>
              </w:rPr>
              <w:t xml:space="preserve">7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.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рейдов межведомственных комиссий («мобильных групп»)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</w:tbl>
    <w:tbl>
      <w:tblPr>
        <w:tblStyle w:val="655"/>
        <w:tblW w:w="5011" w:type="pct"/>
        <w:tblInd w:w="0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591"/>
        <w:gridCol w:w="5064"/>
        <w:gridCol w:w="806"/>
        <w:gridCol w:w="1111"/>
        <w:gridCol w:w="916"/>
        <w:gridCol w:w="945"/>
      </w:tblGrid>
      <w:tr>
        <w:tblPrEx/>
        <w:trPr>
          <w:trHeight w:val="1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en-US" w:eastAsia="en-US"/>
              </w:rPr>
              <w:t xml:space="preserve">8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.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уведомлений (предписаний) о необходимости оформления права собственности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en-US" w:eastAsia="en-US"/>
              </w:rPr>
              <w:t xml:space="preserve">9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.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вынесенных предостережений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en-US" w:eastAsia="en-US"/>
              </w:rPr>
              <w:t xml:space="preserve">10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.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выявленных земе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льных участков (за исключением ранее учтенных), фактически используемых гражданами и юридическими лицами без оформления в установленном порядке правоустанавливающих документов (право собственности на которые не оформлено и отсутствуют арендные отношения), 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из них: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/>
            <w:bookmarkStart w:id="0" w:name="_GoBack"/>
            <w:r/>
            <w:bookmarkEnd w:id="0"/>
            <w:r/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11.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земельных участков из числа выявленных в отчетном периоде, на которые зарегистрированы права собственности (в результате обращения собственника) 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12.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земельных участков из числа выявленных в отчетном периоде, на которые оформлены договоры аренды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cantSplit/>
          <w:trHeight w:val="1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13.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земельных участков, в отношении которых земельный контроль был проведен в предыдущие годы, при этом права оформлены в текущем отчетном периоде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14.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земельных участков, в отношении которых право собственности зарегистрировано в результате обращения органов местного самоуправления муниципальных образований от имени граждан (в соответствии со статьей 12 Федерального закона от 30 июня 2006 года № 93-ФЗ**)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80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15.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выявленных объектов капитального строительства (за исключением ранее учтенных), на которые не оформлены правоустанавливающие документы в установленном порядке,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  <w:p>
            <w:pPr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из них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4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16.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объектов капитального строительства из числа выявленных, на которые в отчетном периоде зарегистрированы права собственности (в результате обращения собственника)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17.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объектов капитального строительства, которые выявлены в предыдущие годы, при этом права оформлены в текущем отчетном периоде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18.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объектов капитальн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ого строительства, в отношении которых право собственности зарегистрировано в результате обращения органов местного самоуправления муниципальных образований от имени граждан (в соответствии со статьей 12 Федерального закона от 30 июня 2006 года № 93-ФЗ**) 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19.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невостребованных долей, паев из земель сельскохозяйственного назначения, в отношении которых в отчетном периоде приняты меры по вовлечению их в муниципальную собственность,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  <w:p>
            <w:pPr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из них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91" w:type="dxa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20.</w:t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64" w:type="dxa"/>
            <w:textDirection w:val="lrTb"/>
            <w:noWrap/>
          </w:tcPr>
          <w:p>
            <w:pPr>
              <w:spacing w:line="240" w:lineRule="auto"/>
              <w:rPr>
                <w:rFonts w:hint="default" w:ascii="Liberation Serif" w:hAnsi="Liberation Serif" w:cs="Liberation Serif"/>
                <w:sz w:val="24"/>
                <w:szCs w:val="24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  <w:t xml:space="preserve">количество невостребованных долей, паев из земель сельскохозяйственного назначения, на которые в отчетном периоде зарегистрировано право муниципальной собственности</w:t>
            </w:r>
            <w:r>
              <w:rPr>
                <w:rFonts w:hint="default"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1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16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45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pP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  <w:r>
              <w:rPr>
                <w:rFonts w:hint="default" w:ascii="Liberation Serif" w:hAnsi="Liberation Serif" w:eastAsia="Calibri" w:cs="Liberation Serif"/>
                <w:sz w:val="24"/>
                <w:szCs w:val="24"/>
                <w:lang w:eastAsia="en-US"/>
              </w:rPr>
            </w:r>
          </w:p>
        </w:tc>
      </w:tr>
    </w:tbl>
    <w:p>
      <w:pPr>
        <w:spacing w:line="240" w:lineRule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</w:r>
      <w:r>
        <w:rPr>
          <w:rFonts w:hint="default" w:ascii="Liberation Serif" w:hAnsi="Liberation Serif" w:cs="Liberation Serif"/>
          <w:sz w:val="24"/>
          <w:szCs w:val="24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6"/>
    </w:pPr>
    <w:r>
      <w:rPr>
        <w:sz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5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 xml:space="preserve">1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rot="0" spcFirstLastPara="0" vertOverflow="overflow" horzOverflow="overflow" vert="horz" wrap="none" lIns="36000" tIns="36000" rIns="36000" bIns="3600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9264;o:allowoverlap:true;o:allowincell:true;mso-position-horizontal-relative:margin;mso-position-horizontal:center;mso-position-vertical-relative:text;margin-top:0.00pt;mso-position-vertical:absolute;width:144.00pt;height:144.00pt;mso-wrap-distance-left:9.00pt;mso-wrap-distance-top:0.00pt;mso-wrap-distance-right:9.00pt;mso-wrap-distance-bottom:0.00pt;v-text-anchor:top;visibility:visible;" filled="f" stroked="f" strokeweight="0.50pt">
              <v:textbox inset="0,0,0,0">
                <w:txbxContent>
                  <w:p>
                    <w:pPr>
                      <w:pStyle w:val="65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 xml:space="preserve">1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6"/>
    </w:pPr>
    <w:r/>
    <w:r/>
  </w:p>
  <w:p>
    <w:pPr>
      <w:pStyle w:val="65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4"/>
    <w:link w:val="656"/>
    <w:uiPriority w:val="99"/>
  </w:style>
  <w:style w:type="character" w:styleId="45">
    <w:name w:val="Footer Char"/>
    <w:basedOn w:val="654"/>
    <w:link w:val="657"/>
    <w:uiPriority w:val="99"/>
  </w:style>
  <w:style w:type="paragraph" w:styleId="46">
    <w:name w:val="Caption"/>
    <w:basedOn w:val="653"/>
    <w:next w:val="65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5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uiPriority w:val="0"/>
    <w:qFormat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654" w:default="1">
    <w:name w:val="Default Paragraph Font"/>
    <w:uiPriority w:val="0"/>
    <w:semiHidden/>
    <w:qFormat/>
  </w:style>
  <w:style w:type="table" w:styleId="655" w:default="1">
    <w:name w:val="Normal Table"/>
    <w:uiPriority w:val="0"/>
    <w:semiHidden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paragraph" w:styleId="656">
    <w:name w:val="Header"/>
    <w:basedOn w:val="653"/>
    <w:uiPriority w:val="0"/>
    <w:qFormat/>
    <w:pPr>
      <w:tabs>
        <w:tab w:val="center" w:pos="4153" w:leader="none"/>
        <w:tab w:val="right" w:pos="8306" w:leader="none"/>
      </w:tabs>
    </w:pPr>
  </w:style>
  <w:style w:type="paragraph" w:styleId="657">
    <w:name w:val="Footer"/>
    <w:basedOn w:val="653"/>
    <w:uiPriority w:val="0"/>
    <w:qFormat/>
    <w:pPr>
      <w:tabs>
        <w:tab w:val="center" w:pos="4153" w:leader="none"/>
        <w:tab w:val="right" w:pos="8306" w:leader="none"/>
      </w:tabs>
    </w:pPr>
  </w:style>
  <w:style w:type="paragraph" w:styleId="658" w:customStyle="1">
    <w:name w:val="ConsPlusNormal"/>
    <w:uiPriority w:val="0"/>
    <w:qFormat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659" w:customStyle="1">
    <w:name w:val="ConsPlusTitle"/>
    <w:uiPriority w:val="0"/>
    <w:qFormat/>
    <w:pPr>
      <w:widowControl w:val="off"/>
    </w:pPr>
    <w:rPr>
      <w:rFonts w:ascii="Calibri" w:hAnsi="Calibri" w:eastAsia="Calibri" w:cs="Calibri"/>
      <w:b/>
      <w:sz w:val="22"/>
      <w:lang w:val="ru-RU" w:eastAsia="ru-RU" w:bidi="ar-SA"/>
    </w:rPr>
  </w:style>
  <w:style w:type="numbering" w:styleId="211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r7-office/2024.4.2.721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Елтышева</cp:lastModifiedBy>
  <cp:revision>2</cp:revision>
  <dcterms:created xsi:type="dcterms:W3CDTF">2025-08-14T17:35:00Z</dcterms:created>
  <dcterms:modified xsi:type="dcterms:W3CDTF">2025-08-27T10:59:33Z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